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topFromText="851" w:bottomFromText="200" w:vertAnchor="page" w:horzAnchor="page" w:tblpX="793" w:tblpY="886"/>
        <w:tblW w:w="5370" w:type="dxa"/>
        <w:tblLayout w:type="fixed"/>
        <w:tblLook w:val="01E0"/>
      </w:tblPr>
      <w:tblGrid>
        <w:gridCol w:w="1652"/>
        <w:gridCol w:w="9"/>
        <w:gridCol w:w="299"/>
        <w:gridCol w:w="3410"/>
      </w:tblGrid>
      <w:tr w:rsidR="00875084" w:rsidTr="00875084">
        <w:trPr>
          <w:trHeight w:val="989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20955</wp:posOffset>
                  </wp:positionV>
                  <wp:extent cx="621665" cy="61023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084" w:rsidTr="00875084">
        <w:trPr>
          <w:trHeight w:val="134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ΕΛΛΗΝΙΚΗ  ΔΗΜΟΚΡΑΤΙΑ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ΥΠΟΥΡΓΕΙΟ ΠΑΙΔΕΙΑΣ ΕΡΕΥΝΑΣ ΚΑΙ ΘΡΗΣΚΕΥΜΑΤΩΝ</w:t>
            </w:r>
          </w:p>
        </w:tc>
      </w:tr>
      <w:tr w:rsidR="00875084" w:rsidTr="00875084">
        <w:trPr>
          <w:trHeight w:val="72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ΠΕΡΙΦΕΡΕΙΑΚΗ  Δ/ΝΣΗ  Π/ΘΜΙΑΣ</w:t>
            </w:r>
          </w:p>
        </w:tc>
      </w:tr>
      <w:tr w:rsidR="00875084" w:rsidTr="00875084">
        <w:trPr>
          <w:trHeight w:val="126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&amp;  Δ/ΘΜΙΑΣ  ΕΚΠ/ΣΗΣ 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ΠΕ.Κ.Ε.Σ. ΑΤΤΙΚΗΣ</w:t>
            </w:r>
          </w:p>
        </w:tc>
      </w:tr>
      <w:tr w:rsidR="00875084" w:rsidTr="00875084">
        <w:trPr>
          <w:trHeight w:val="118"/>
        </w:trPr>
        <w:tc>
          <w:tcPr>
            <w:tcW w:w="5370" w:type="dxa"/>
            <w:gridSpan w:val="4"/>
            <w:hideMark/>
          </w:tcPr>
          <w:p w:rsidR="00875084" w:rsidRDefault="00875084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Πληροφορίες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Μποέμη Παναγιώτα (Νάγια)</w:t>
            </w:r>
          </w:p>
          <w:p w:rsidR="00875084" w:rsidRP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Συντονίστρια Εκπαιδευτικού Έργου ΠΕ 91 Θεατρικής Αγωγής</w:t>
            </w:r>
          </w:p>
        </w:tc>
      </w:tr>
      <w:tr w:rsidR="00875084" w:rsidTr="00875084">
        <w:trPr>
          <w:trHeight w:val="120"/>
        </w:trPr>
        <w:tc>
          <w:tcPr>
            <w:tcW w:w="1652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Ταχ. Δ/νση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  <w:hideMark/>
          </w:tcPr>
          <w:p w:rsidR="00875084" w:rsidRPr="00340288" w:rsidRDefault="0034028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nayaboemi@yahoo.gr</w:t>
            </w:r>
          </w:p>
        </w:tc>
      </w:tr>
      <w:tr w:rsidR="00875084" w:rsidTr="00875084">
        <w:trPr>
          <w:trHeight w:val="120"/>
        </w:trPr>
        <w:tc>
          <w:tcPr>
            <w:tcW w:w="1960" w:type="dxa"/>
            <w:gridSpan w:val="3"/>
            <w:vAlign w:val="center"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Τηλέφωνο     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Pr="00340288" w:rsidRDefault="00340288">
            <w:pPr>
              <w:pStyle w:val="a3"/>
              <w:framePr w:w="0" w:hRule="auto" w:hSpace="0" w:wrap="auto" w:vAnchor="margin" w:hAnchor="text" w:xAlign="left" w:yAlign="inline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6977628019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-4176752</w:t>
            </w:r>
          </w:p>
        </w:tc>
      </w:tr>
      <w:tr w:rsidR="00875084" w:rsidTr="00875084">
        <w:trPr>
          <w:trHeight w:val="120"/>
        </w:trPr>
        <w:tc>
          <w:tcPr>
            <w:tcW w:w="1661" w:type="dxa"/>
            <w:gridSpan w:val="2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9" w:type="dxa"/>
            <w:vAlign w:val="center"/>
            <w:hideMark/>
          </w:tcPr>
          <w:p w:rsidR="00875084" w:rsidRDefault="0087508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410" w:type="dxa"/>
            <w:vAlign w:val="center"/>
            <w:hideMark/>
          </w:tcPr>
          <w:p w:rsidR="00875084" w:rsidRDefault="002C40CD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hyperlink r:id="rId6" w:history="1">
              <w:r w:rsidR="00875084">
                <w:rPr>
                  <w:rStyle w:val="-"/>
                  <w:rFonts w:ascii="Calibri" w:hAnsi="Calibri" w:cs="Calibri"/>
                  <w:b/>
                  <w:sz w:val="22"/>
                  <w:szCs w:val="22"/>
                  <w:lang w:val="en-US"/>
                </w:rPr>
                <w:t>6pekesat@sch.gr</w:t>
              </w:r>
            </w:hyperlink>
          </w:p>
        </w:tc>
      </w:tr>
    </w:tbl>
    <w:tbl>
      <w:tblPr>
        <w:tblStyle w:val="a4"/>
        <w:tblpPr w:leftFromText="180" w:rightFromText="180" w:vertAnchor="page" w:horzAnchor="page" w:tblpX="6463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5"/>
        <w:gridCol w:w="4111"/>
      </w:tblGrid>
      <w:tr w:rsidR="00875084" w:rsidRPr="00340288" w:rsidTr="00875084">
        <w:trPr>
          <w:trHeight w:val="495"/>
        </w:trPr>
        <w:tc>
          <w:tcPr>
            <w:tcW w:w="785" w:type="dxa"/>
            <w:hideMark/>
          </w:tcPr>
          <w:p w:rsidR="00336A62" w:rsidRDefault="00336A62" w:rsidP="000405F4">
            <w:pPr>
              <w:jc w:val="center"/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336A62" w:rsidRDefault="00336A62" w:rsidP="00875084">
            <w:pPr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336A62" w:rsidRDefault="00336A62" w:rsidP="00875084">
            <w:pPr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875084" w:rsidRPr="00340288" w:rsidRDefault="00875084" w:rsidP="00875084">
            <w:pPr>
              <w:rPr>
                <w:rFonts w:ascii="Calibri" w:hAnsi="Calibri" w:cs="Calibri"/>
                <w:b/>
                <w:sz w:val="22"/>
                <w:lang w:val="en-US" w:eastAsia="en-US"/>
              </w:rPr>
            </w:pPr>
          </w:p>
        </w:tc>
        <w:tc>
          <w:tcPr>
            <w:tcW w:w="4111" w:type="dxa"/>
            <w:hideMark/>
          </w:tcPr>
          <w:p w:rsidR="00336A62" w:rsidRDefault="000405F4" w:rsidP="0087508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Πειραιάς, </w:t>
            </w:r>
            <w:r w:rsidR="001848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1848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AD49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</w:t>
            </w:r>
            <w:r w:rsidR="00AD49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:rsidR="000405F4" w:rsidRPr="0018484F" w:rsidRDefault="000405F4" w:rsidP="0087508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18484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31</w:t>
            </w:r>
          </w:p>
          <w:p w:rsidR="00336A62" w:rsidRPr="000405F4" w:rsidRDefault="00336A62" w:rsidP="0087508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36A62" w:rsidRPr="000405F4" w:rsidRDefault="00336A62" w:rsidP="0087508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36A62" w:rsidRPr="000405F4" w:rsidRDefault="00336A62" w:rsidP="00875084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340288" w:rsidRPr="000405F4" w:rsidRDefault="00340288" w:rsidP="003402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5F4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340288" w:rsidRPr="000405F4" w:rsidRDefault="00340288" w:rsidP="003402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40288" w:rsidRPr="00A63E14" w:rsidRDefault="00A63E14" w:rsidP="000405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340288"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Εκπαιδευτικούς Θεατρικής Αγωγής </w:t>
            </w:r>
          </w:p>
          <w:p w:rsidR="00340288" w:rsidRPr="00A63E14" w:rsidRDefault="00340288" w:rsidP="000405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κλ. ΠΕ 91 – ΠΕ 91.01 &amp; ΠΕ 91.02,</w:t>
            </w:r>
          </w:p>
          <w:p w:rsidR="00340288" w:rsidRPr="00A63E14" w:rsidRDefault="00A63E14" w:rsidP="000405F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των σχολικών μονάδων </w:t>
            </w:r>
            <w:r w:rsidR="00340288"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γενικής και ειδικής αγωγής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, αρμοδιότητας των</w:t>
            </w:r>
          </w:p>
          <w:p w:rsidR="00A63E14" w:rsidRPr="00A63E14" w:rsidRDefault="00340288" w:rsidP="00A63E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, 2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, 3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, 4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, 5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, 6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, 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ΠΕ.Κ.Ε.Σ. Αττικής, 1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>και 2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405F4" w:rsidRPr="00A63E14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υ</w:t>
            </w:r>
            <w:r w:rsidRPr="00A63E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ΠΕ.Κ.Ε.Σ. Νοτίου Αιγαίου, Π.Ε.Κ.Ε.Σ. Κρήτης, Πελοποννήσου, Δυτικής Ελλάδας και Στερεάς Ελλάδας</w:t>
            </w:r>
          </w:p>
          <w:p w:rsidR="00340288" w:rsidRPr="000405F4" w:rsidRDefault="00340288" w:rsidP="0034028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340288" w:rsidRPr="000405F4" w:rsidRDefault="00340288" w:rsidP="00340288">
            <w:pPr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405F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ΚΟΙΝ.</w:t>
            </w:r>
          </w:p>
          <w:p w:rsidR="00A63E14" w:rsidRDefault="00A63E14" w:rsidP="00A63E14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Δ/</w:t>
            </w:r>
            <w:proofErr w:type="spellStart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νσει</w:t>
            </w:r>
            <w:proofErr w:type="spellEnd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ς Α/</w:t>
            </w:r>
            <w:proofErr w:type="spellStart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θμιας</w:t>
            </w:r>
            <w:proofErr w:type="spellEnd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&amp; Β/</w:t>
            </w:r>
            <w:proofErr w:type="spellStart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θμιαςΕκπ</w:t>
            </w:r>
            <w:proofErr w:type="spellEnd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="00340288" w:rsidRPr="000405F4">
              <w:rPr>
                <w:rFonts w:asciiTheme="minorHAnsi" w:hAnsiTheme="minorHAnsi" w:cstheme="minorHAnsi"/>
                <w:sz w:val="24"/>
                <w:szCs w:val="24"/>
              </w:rPr>
              <w:t>σης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των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05F4">
              <w:rPr>
                <w:rFonts w:asciiTheme="minorHAnsi" w:hAnsiTheme="minorHAnsi" w:cstheme="minorHAnsi"/>
                <w:sz w:val="24"/>
                <w:szCs w:val="24"/>
              </w:rPr>
              <w:t>Π.Δ.Ε. Αττικής, Δυτικής Ελλάδας, Στερεάς Ελλάδας, Πελοποννήσου, Νοτίου Αιγαίου, Κρήτης</w:t>
            </w:r>
          </w:p>
          <w:p w:rsidR="00A63E14" w:rsidRPr="000405F4" w:rsidRDefault="00A63E14" w:rsidP="00A63E14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405F4">
              <w:rPr>
                <w:rFonts w:asciiTheme="minorHAnsi" w:hAnsiTheme="minorHAnsi" w:cstheme="minorHAnsi"/>
                <w:sz w:val="24"/>
                <w:szCs w:val="24"/>
              </w:rPr>
              <w:t>Π.Δ.Ε. Αττικής, Δυτικής Ελλάδας, Στερεάς Ελλάδας, Πελοποννήσου, Νοτίου Αιγαίου, Κρήτης</w:t>
            </w:r>
          </w:p>
        </w:tc>
      </w:tr>
      <w:tr w:rsidR="00875084" w:rsidTr="00875084">
        <w:trPr>
          <w:trHeight w:val="495"/>
        </w:trPr>
        <w:tc>
          <w:tcPr>
            <w:tcW w:w="785" w:type="dxa"/>
          </w:tcPr>
          <w:p w:rsidR="00875084" w:rsidRPr="00340288" w:rsidRDefault="00875084" w:rsidP="00875084">
            <w:pPr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</w:tcPr>
          <w:p w:rsidR="00875084" w:rsidRPr="000405F4" w:rsidRDefault="00875084" w:rsidP="0087508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875084" w:rsidRPr="000405F4" w:rsidRDefault="00875084" w:rsidP="00340288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862439" w:rsidRDefault="00862439"/>
    <w:p w:rsidR="00875084" w:rsidRPr="000200E9" w:rsidRDefault="00875084" w:rsidP="00875084">
      <w:pPr>
        <w:jc w:val="both"/>
        <w:rPr>
          <w:sz w:val="24"/>
          <w:szCs w:val="24"/>
        </w:rPr>
      </w:pPr>
    </w:p>
    <w:p w:rsidR="00340288" w:rsidRDefault="00340288" w:rsidP="00336A62">
      <w:pPr>
        <w:ind w:left="-567"/>
        <w:jc w:val="both"/>
        <w:rPr>
          <w:rFonts w:ascii="Calibri" w:hAnsi="Calibri"/>
          <w:b/>
          <w:sz w:val="24"/>
          <w:szCs w:val="24"/>
        </w:rPr>
      </w:pPr>
    </w:p>
    <w:p w:rsidR="00340288" w:rsidRDefault="00340288" w:rsidP="00336A62">
      <w:pPr>
        <w:ind w:left="-567"/>
        <w:jc w:val="both"/>
        <w:rPr>
          <w:rFonts w:ascii="Calibri" w:hAnsi="Calibri"/>
          <w:b/>
          <w:sz w:val="24"/>
          <w:szCs w:val="24"/>
        </w:rPr>
      </w:pPr>
    </w:p>
    <w:p w:rsidR="00340288" w:rsidRDefault="00340288" w:rsidP="00336A62">
      <w:pPr>
        <w:ind w:left="-567"/>
        <w:jc w:val="both"/>
        <w:rPr>
          <w:rFonts w:ascii="Calibri" w:hAnsi="Calibri"/>
          <w:b/>
          <w:sz w:val="24"/>
          <w:szCs w:val="24"/>
        </w:rPr>
      </w:pPr>
    </w:p>
    <w:p w:rsidR="00340288" w:rsidRDefault="00340288" w:rsidP="00336A62">
      <w:pPr>
        <w:ind w:left="-567"/>
        <w:jc w:val="both"/>
        <w:rPr>
          <w:rFonts w:ascii="Calibri" w:hAnsi="Calibri"/>
          <w:b/>
          <w:sz w:val="24"/>
          <w:szCs w:val="24"/>
        </w:rPr>
      </w:pPr>
    </w:p>
    <w:p w:rsidR="00340288" w:rsidRDefault="00340288" w:rsidP="00336A62">
      <w:pPr>
        <w:ind w:left="-567"/>
        <w:jc w:val="both"/>
        <w:rPr>
          <w:rFonts w:ascii="Calibri" w:hAnsi="Calibri"/>
          <w:b/>
          <w:sz w:val="24"/>
          <w:szCs w:val="24"/>
        </w:rPr>
      </w:pPr>
    </w:p>
    <w:p w:rsidR="00340288" w:rsidRDefault="00340288" w:rsidP="00336A62">
      <w:pPr>
        <w:ind w:left="-567"/>
        <w:jc w:val="both"/>
        <w:rPr>
          <w:rFonts w:ascii="Calibri" w:hAnsi="Calibri"/>
          <w:b/>
          <w:sz w:val="24"/>
          <w:szCs w:val="24"/>
        </w:rPr>
      </w:pPr>
    </w:p>
    <w:p w:rsidR="00E32C88" w:rsidRDefault="00E32C88" w:rsidP="00F43C38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</w:p>
    <w:p w:rsidR="00E32C88" w:rsidRDefault="00E32C88" w:rsidP="00E32C88">
      <w:pPr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2C88">
        <w:rPr>
          <w:rFonts w:asciiTheme="minorHAnsi" w:hAnsiTheme="minorHAnsi" w:cstheme="minorHAnsi"/>
          <w:b/>
          <w:sz w:val="24"/>
          <w:szCs w:val="24"/>
        </w:rPr>
        <w:t xml:space="preserve">Θέμα: </w:t>
      </w:r>
      <w:r w:rsidR="00AD49C9">
        <w:rPr>
          <w:rFonts w:asciiTheme="minorHAnsi" w:hAnsiTheme="minorHAnsi" w:cstheme="minorHAnsi"/>
          <w:b/>
          <w:sz w:val="24"/>
          <w:szCs w:val="24"/>
        </w:rPr>
        <w:t>Παράταση προθεσμίας π</w:t>
      </w:r>
      <w:r w:rsidRPr="00E32C88">
        <w:rPr>
          <w:rFonts w:asciiTheme="minorHAnsi" w:hAnsiTheme="minorHAnsi" w:cstheme="minorHAnsi"/>
          <w:b/>
          <w:sz w:val="24"/>
          <w:szCs w:val="24"/>
        </w:rPr>
        <w:t>ρόσκληση</w:t>
      </w:r>
      <w:r w:rsidR="00AD49C9">
        <w:rPr>
          <w:rFonts w:asciiTheme="minorHAnsi" w:hAnsiTheme="minorHAnsi" w:cstheme="minorHAnsi"/>
          <w:b/>
          <w:sz w:val="24"/>
          <w:szCs w:val="24"/>
        </w:rPr>
        <w:t>ς</w:t>
      </w:r>
      <w:r w:rsidRPr="00E32C88">
        <w:rPr>
          <w:rFonts w:asciiTheme="minorHAnsi" w:hAnsiTheme="minorHAnsi" w:cstheme="minorHAnsi"/>
          <w:b/>
          <w:sz w:val="24"/>
          <w:szCs w:val="24"/>
        </w:rPr>
        <w:t xml:space="preserve"> συμμετοχής εκπαιδευτικών κλ. ΠΕ91 – ΠΕ 91.01 &amp; ΠΕ 91.02, Θεατρικής Αγωγής σε συλλογικό τόμο με θέμα: «Η Θεατρική Αγωγή σε καιρό πανδημίας (SARS-CoV-2): προκλήσεις, προβληματισμοί και εναλλακτικές».</w:t>
      </w:r>
    </w:p>
    <w:p w:rsidR="00E32C88" w:rsidRDefault="00E32C88" w:rsidP="00E32C88">
      <w:pPr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0CF8" w:rsidRPr="00360CF8" w:rsidRDefault="00F83658" w:rsidP="00E32C88">
      <w:pPr>
        <w:ind w:left="-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Οι</w:t>
      </w:r>
      <w:r w:rsidR="00A63E14">
        <w:rPr>
          <w:rFonts w:asciiTheme="minorHAnsi" w:hAnsiTheme="minorHAnsi" w:cstheme="minorHAnsi"/>
          <w:sz w:val="24"/>
          <w:szCs w:val="24"/>
        </w:rPr>
        <w:t xml:space="preserve"> Συντονίστρι</w:t>
      </w:r>
      <w:r>
        <w:rPr>
          <w:rFonts w:asciiTheme="minorHAnsi" w:hAnsiTheme="minorHAnsi" w:cstheme="minorHAnsi"/>
          <w:sz w:val="24"/>
          <w:szCs w:val="24"/>
        </w:rPr>
        <w:t>ες</w:t>
      </w:r>
      <w:r w:rsidR="00E32C88" w:rsidRPr="00360CF8">
        <w:rPr>
          <w:rFonts w:asciiTheme="minorHAnsi" w:hAnsiTheme="minorHAnsi" w:cstheme="minorHAnsi"/>
          <w:sz w:val="24"/>
          <w:szCs w:val="24"/>
        </w:rPr>
        <w:t xml:space="preserve"> Εκπαιδευτικού Έργου Θεατρικής Αγωγής</w:t>
      </w:r>
      <w:r w:rsidR="001B423F">
        <w:rPr>
          <w:rFonts w:asciiTheme="minorHAnsi" w:hAnsiTheme="minorHAnsi" w:cstheme="minorHAnsi"/>
          <w:sz w:val="24"/>
          <w:szCs w:val="24"/>
        </w:rPr>
        <w:t xml:space="preserve"> (Σ.Ε.Ε.)</w:t>
      </w:r>
      <w:r w:rsidR="00E32C88" w:rsidRPr="00360CF8">
        <w:rPr>
          <w:rFonts w:asciiTheme="minorHAnsi" w:hAnsiTheme="minorHAnsi" w:cstheme="minorHAnsi"/>
          <w:sz w:val="24"/>
          <w:szCs w:val="24"/>
        </w:rPr>
        <w:t xml:space="preserve"> κλ. ΠΕ 91</w:t>
      </w:r>
      <w:r w:rsidR="00A63E14">
        <w:rPr>
          <w:rFonts w:asciiTheme="minorHAnsi" w:hAnsiTheme="minorHAnsi" w:cstheme="minorHAnsi"/>
          <w:sz w:val="24"/>
          <w:szCs w:val="24"/>
        </w:rPr>
        <w:t>Μποέμη Παναγιώτα (Νάγια)</w:t>
      </w:r>
      <w:r>
        <w:rPr>
          <w:rFonts w:asciiTheme="minorHAnsi" w:hAnsiTheme="minorHAnsi" w:cstheme="minorHAnsi"/>
          <w:sz w:val="24"/>
          <w:szCs w:val="24"/>
        </w:rPr>
        <w:t xml:space="preserve"> και </w:t>
      </w:r>
      <w:proofErr w:type="spellStart"/>
      <w:r>
        <w:rPr>
          <w:rFonts w:asciiTheme="minorHAnsi" w:hAnsiTheme="minorHAnsi" w:cstheme="minorHAnsi"/>
          <w:sz w:val="24"/>
          <w:szCs w:val="24"/>
        </w:rPr>
        <w:t>Κουμανάκου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Μαρία-Αλεξάνδρα</w:t>
      </w:r>
      <w:r w:rsidR="001B423F">
        <w:rPr>
          <w:rFonts w:asciiTheme="minorHAnsi" w:hAnsiTheme="minorHAnsi" w:cstheme="minorHAnsi"/>
          <w:sz w:val="24"/>
          <w:szCs w:val="24"/>
        </w:rPr>
        <w:t xml:space="preserve">, σε συνεργασία με </w:t>
      </w:r>
      <w:r w:rsidR="00AE7E81">
        <w:rPr>
          <w:rFonts w:asciiTheme="minorHAnsi" w:hAnsiTheme="minorHAnsi" w:cstheme="minorHAnsi"/>
          <w:sz w:val="24"/>
          <w:szCs w:val="24"/>
        </w:rPr>
        <w:t xml:space="preserve">την κα </w:t>
      </w:r>
      <w:proofErr w:type="spellStart"/>
      <w:r w:rsidR="00AE7E81">
        <w:rPr>
          <w:rFonts w:asciiTheme="minorHAnsi" w:hAnsiTheme="minorHAnsi" w:cstheme="minorHAnsi"/>
          <w:sz w:val="24"/>
          <w:szCs w:val="24"/>
        </w:rPr>
        <w:t>Κατ</w:t>
      </w:r>
      <w:r w:rsidR="00A63E14">
        <w:rPr>
          <w:rFonts w:asciiTheme="minorHAnsi" w:hAnsiTheme="minorHAnsi" w:cstheme="minorHAnsi"/>
          <w:sz w:val="24"/>
          <w:szCs w:val="24"/>
        </w:rPr>
        <w:t>σαρίδου</w:t>
      </w:r>
      <w:proofErr w:type="spellEnd"/>
      <w:r w:rsidR="00A63E14">
        <w:rPr>
          <w:rFonts w:asciiTheme="minorHAnsi" w:hAnsiTheme="minorHAnsi" w:cstheme="minorHAnsi"/>
          <w:sz w:val="24"/>
          <w:szCs w:val="24"/>
        </w:rPr>
        <w:t xml:space="preserve"> Μάρθα, </w:t>
      </w:r>
      <w:r w:rsidR="00A63E14" w:rsidRPr="00A63E14">
        <w:rPr>
          <w:rFonts w:asciiTheme="minorHAnsi" w:hAnsiTheme="minorHAnsi" w:cstheme="minorHAnsi"/>
          <w:sz w:val="24"/>
          <w:szCs w:val="24"/>
        </w:rPr>
        <w:t>επίκουρη καθ</w:t>
      </w:r>
      <w:r w:rsidR="00A63E14">
        <w:rPr>
          <w:rFonts w:asciiTheme="minorHAnsi" w:hAnsiTheme="minorHAnsi" w:cstheme="minorHAnsi"/>
          <w:sz w:val="24"/>
          <w:szCs w:val="24"/>
        </w:rPr>
        <w:t xml:space="preserve">ηγήτρια Θεάτρου στην Εκπαίδευση στο </w:t>
      </w:r>
      <w:r w:rsidR="00E32C88" w:rsidRPr="00A63E14">
        <w:rPr>
          <w:rFonts w:asciiTheme="minorHAnsi" w:hAnsiTheme="minorHAnsi" w:cstheme="minorHAnsi"/>
          <w:sz w:val="24"/>
          <w:szCs w:val="24"/>
        </w:rPr>
        <w:t>Παιδαγωγικό Τμήμα Προσχολικής Εκπαίδευσης του Πανεπιστημίου Θεσσαλίας</w:t>
      </w:r>
      <w:r>
        <w:rPr>
          <w:rFonts w:asciiTheme="minorHAnsi" w:hAnsiTheme="minorHAnsi" w:cstheme="minorHAnsi"/>
          <w:sz w:val="24"/>
          <w:szCs w:val="24"/>
        </w:rPr>
        <w:t>, ενημερώνουν για την παράταση της προθεσμίας της</w:t>
      </w:r>
      <w:r w:rsidR="00E32C88" w:rsidRPr="00360CF8">
        <w:rPr>
          <w:rFonts w:asciiTheme="minorHAnsi" w:hAnsiTheme="minorHAnsi" w:cstheme="minorHAnsi"/>
          <w:sz w:val="24"/>
          <w:szCs w:val="24"/>
        </w:rPr>
        <w:t xml:space="preserve"> πρόσκληση</w:t>
      </w:r>
      <w:r>
        <w:rPr>
          <w:rFonts w:asciiTheme="minorHAnsi" w:hAnsiTheme="minorHAnsi" w:cstheme="minorHAnsi"/>
          <w:sz w:val="24"/>
          <w:szCs w:val="24"/>
        </w:rPr>
        <w:t xml:space="preserve">ς εκπαιδευτικών </w:t>
      </w:r>
      <w:r w:rsidR="00E32C88" w:rsidRPr="00360CF8">
        <w:rPr>
          <w:rFonts w:asciiTheme="minorHAnsi" w:hAnsiTheme="minorHAnsi" w:cstheme="minorHAnsi"/>
          <w:sz w:val="24"/>
          <w:szCs w:val="24"/>
        </w:rPr>
        <w:t>κλ. ΠΕ91, σε συλλογικό τόμο με θέμα: «Η Θεατρική Αγωγή σε καιρό πανδημίας (SARS-CoV-2): προκλήσεις, προβληματισμοί και εναλλακτικές»</w:t>
      </w:r>
      <w:r>
        <w:rPr>
          <w:rFonts w:asciiTheme="minorHAnsi" w:hAnsiTheme="minorHAnsi" w:cstheme="minorHAnsi"/>
          <w:sz w:val="24"/>
          <w:szCs w:val="24"/>
        </w:rPr>
        <w:t xml:space="preserve">, μέχρι </w:t>
      </w:r>
      <w:r w:rsidRPr="00F83658">
        <w:rPr>
          <w:rFonts w:asciiTheme="minorHAnsi" w:hAnsiTheme="minorHAnsi" w:cstheme="minorHAnsi"/>
          <w:sz w:val="24"/>
          <w:szCs w:val="24"/>
        </w:rPr>
        <w:t>την Παρασκευή 29 Ιανουαρίου 2021</w:t>
      </w:r>
      <w:r w:rsidR="00E32C88" w:rsidRPr="00360CF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E7E81" w:rsidRPr="00AD49C9" w:rsidRDefault="00AE7E81" w:rsidP="00F43C3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E7E81" w:rsidRPr="00AD49C9" w:rsidRDefault="00AE7E81" w:rsidP="00F43C3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E7E81" w:rsidRPr="00AE7E81" w:rsidRDefault="00F43C38" w:rsidP="00F43C38">
      <w:pPr>
        <w:jc w:val="right"/>
        <w:rPr>
          <w:rFonts w:asciiTheme="minorHAnsi" w:hAnsiTheme="minorHAnsi" w:cstheme="minorHAnsi"/>
          <w:sz w:val="22"/>
          <w:szCs w:val="22"/>
        </w:rPr>
      </w:pPr>
      <w:r w:rsidRPr="00A33F65">
        <w:rPr>
          <w:rFonts w:asciiTheme="minorHAnsi" w:hAnsiTheme="minorHAnsi" w:cstheme="minorHAnsi"/>
          <w:color w:val="000000"/>
          <w:sz w:val="22"/>
          <w:szCs w:val="22"/>
        </w:rPr>
        <w:t>Η Συντονίστρια Εκπαιδευτικού Έργου, κλ. ΠΕ 91 Θεατρικής Αγωγής</w:t>
      </w:r>
    </w:p>
    <w:p w:rsidR="00F43C38" w:rsidRPr="00A33F65" w:rsidRDefault="00F43C38" w:rsidP="00AE7E81">
      <w:pPr>
        <w:jc w:val="right"/>
        <w:rPr>
          <w:rStyle w:val="-"/>
          <w:rFonts w:asciiTheme="minorHAnsi" w:hAnsiTheme="minorHAnsi" w:cstheme="minorHAnsi"/>
          <w:sz w:val="22"/>
          <w:szCs w:val="22"/>
        </w:rPr>
      </w:pPr>
      <w:r w:rsidRPr="00A33F65">
        <w:rPr>
          <w:rFonts w:asciiTheme="minorHAnsi" w:hAnsiTheme="minorHAnsi" w:cstheme="minorHAnsi"/>
          <w:color w:val="000000"/>
          <w:sz w:val="22"/>
          <w:szCs w:val="22"/>
        </w:rPr>
        <w:t xml:space="preserve">Παναγιώτα (Νάγια) </w:t>
      </w:r>
      <w:proofErr w:type="spellStart"/>
      <w:r w:rsidRPr="00A33F65">
        <w:rPr>
          <w:rFonts w:asciiTheme="minorHAnsi" w:hAnsiTheme="minorHAnsi" w:cstheme="minorHAnsi"/>
          <w:color w:val="000000"/>
          <w:sz w:val="22"/>
          <w:szCs w:val="22"/>
        </w:rPr>
        <w:t>Μποέμη</w:t>
      </w:r>
      <w:proofErr w:type="spellEnd"/>
      <w:r w:rsidR="00AE7E81" w:rsidRPr="00AE7E8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33F65">
        <w:rPr>
          <w:rStyle w:val="5yl5"/>
          <w:rFonts w:asciiTheme="minorHAnsi" w:hAnsiTheme="minorHAnsi" w:cstheme="minorHAnsi"/>
          <w:sz w:val="22"/>
          <w:szCs w:val="22"/>
        </w:rPr>
        <w:t>με έδρα το 6</w:t>
      </w:r>
      <w:r w:rsidRPr="00A33F65">
        <w:rPr>
          <w:rStyle w:val="5yl5"/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A33F65">
        <w:rPr>
          <w:rStyle w:val="5yl5"/>
          <w:rFonts w:asciiTheme="minorHAnsi" w:hAnsiTheme="minorHAnsi" w:cstheme="minorHAnsi"/>
          <w:sz w:val="22"/>
          <w:szCs w:val="22"/>
        </w:rPr>
        <w:t xml:space="preserve"> ΠΕ.Κ.Ε.Σ Αττικής </w:t>
      </w:r>
    </w:p>
    <w:p w:rsidR="00F43C38" w:rsidRPr="00A33F65" w:rsidRDefault="00F43C38" w:rsidP="00F43C38">
      <w:pPr>
        <w:autoSpaceDE w:val="0"/>
        <w:autoSpaceDN w:val="0"/>
        <w:adjustRightInd w:val="0"/>
        <w:jc w:val="right"/>
        <w:rPr>
          <w:rStyle w:val="5yl5"/>
          <w:rFonts w:asciiTheme="minorHAnsi" w:hAnsiTheme="minorHAnsi" w:cstheme="minorHAnsi"/>
          <w:sz w:val="22"/>
          <w:szCs w:val="22"/>
        </w:rPr>
      </w:pPr>
      <w:r w:rsidRPr="00A33F65">
        <w:rPr>
          <w:rStyle w:val="5yl5"/>
          <w:rFonts w:asciiTheme="minorHAnsi" w:hAnsiTheme="minorHAnsi" w:cstheme="minorHAnsi"/>
          <w:sz w:val="22"/>
          <w:szCs w:val="22"/>
        </w:rPr>
        <w:t xml:space="preserve">και επιστημονική ευθύνη </w:t>
      </w:r>
      <w:r w:rsidRPr="00A33F65">
        <w:rPr>
          <w:rFonts w:asciiTheme="minorHAnsi" w:hAnsiTheme="minorHAnsi" w:cstheme="minorHAnsi"/>
          <w:sz w:val="22"/>
          <w:szCs w:val="22"/>
        </w:rPr>
        <w:t>τις σχολικές μονάδες Π/Ε και Δ/Ε</w:t>
      </w:r>
    </w:p>
    <w:p w:rsidR="00F43C38" w:rsidRPr="00A33F65" w:rsidRDefault="00F43C38" w:rsidP="00F43C38">
      <w:pPr>
        <w:jc w:val="right"/>
        <w:rPr>
          <w:rFonts w:asciiTheme="minorHAnsi" w:hAnsiTheme="minorHAnsi" w:cstheme="minorHAnsi"/>
          <w:sz w:val="22"/>
          <w:szCs w:val="22"/>
        </w:rPr>
      </w:pPr>
      <w:r w:rsidRPr="00A33F65">
        <w:rPr>
          <w:rFonts w:asciiTheme="minorHAnsi" w:hAnsiTheme="minorHAnsi" w:cstheme="minorHAnsi"/>
          <w:sz w:val="22"/>
          <w:szCs w:val="22"/>
        </w:rPr>
        <w:t>των 1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33F65">
        <w:rPr>
          <w:rFonts w:asciiTheme="minorHAnsi" w:hAnsiTheme="minorHAnsi" w:cstheme="minorHAnsi"/>
          <w:sz w:val="22"/>
          <w:szCs w:val="22"/>
        </w:rPr>
        <w:t>, 2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33F65">
        <w:rPr>
          <w:rFonts w:asciiTheme="minorHAnsi" w:hAnsiTheme="minorHAnsi" w:cstheme="minorHAnsi"/>
          <w:sz w:val="22"/>
          <w:szCs w:val="22"/>
        </w:rPr>
        <w:t>, 3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33F65">
        <w:rPr>
          <w:rFonts w:asciiTheme="minorHAnsi" w:hAnsiTheme="minorHAnsi" w:cstheme="minorHAnsi"/>
          <w:sz w:val="22"/>
          <w:szCs w:val="22"/>
        </w:rPr>
        <w:t>, 4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33F65">
        <w:rPr>
          <w:rFonts w:asciiTheme="minorHAnsi" w:hAnsiTheme="minorHAnsi" w:cstheme="minorHAnsi"/>
          <w:sz w:val="22"/>
          <w:szCs w:val="22"/>
        </w:rPr>
        <w:t>, 5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33F65">
        <w:rPr>
          <w:rFonts w:asciiTheme="minorHAnsi" w:hAnsiTheme="minorHAnsi" w:cstheme="minorHAnsi"/>
          <w:sz w:val="22"/>
          <w:szCs w:val="22"/>
        </w:rPr>
        <w:t>, 6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 xml:space="preserve">ου, </w:t>
      </w:r>
      <w:r w:rsidRPr="00A33F65">
        <w:rPr>
          <w:rFonts w:asciiTheme="minorHAnsi" w:hAnsiTheme="minorHAnsi" w:cstheme="minorHAnsi"/>
          <w:sz w:val="22"/>
          <w:szCs w:val="22"/>
        </w:rPr>
        <w:t xml:space="preserve">ΠΕ.Κ.Ε.Σ. Αττικής, </w:t>
      </w:r>
    </w:p>
    <w:p w:rsidR="00AE7E81" w:rsidRPr="00AD49C9" w:rsidRDefault="00F43C38" w:rsidP="00F43C38">
      <w:pPr>
        <w:jc w:val="right"/>
        <w:rPr>
          <w:rFonts w:asciiTheme="minorHAnsi" w:hAnsiTheme="minorHAnsi" w:cstheme="minorHAnsi"/>
          <w:sz w:val="22"/>
          <w:szCs w:val="22"/>
        </w:rPr>
      </w:pPr>
      <w:r w:rsidRPr="00A33F65">
        <w:rPr>
          <w:rFonts w:asciiTheme="minorHAnsi" w:hAnsiTheme="minorHAnsi" w:cstheme="minorHAnsi"/>
          <w:sz w:val="22"/>
          <w:szCs w:val="22"/>
        </w:rPr>
        <w:t>1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 xml:space="preserve">ου </w:t>
      </w:r>
      <w:r w:rsidRPr="00A33F65">
        <w:rPr>
          <w:rFonts w:asciiTheme="minorHAnsi" w:hAnsiTheme="minorHAnsi" w:cstheme="minorHAnsi"/>
          <w:sz w:val="22"/>
          <w:szCs w:val="22"/>
        </w:rPr>
        <w:t>και 2</w:t>
      </w:r>
      <w:r w:rsidRPr="00A33F65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A33F65">
        <w:rPr>
          <w:rFonts w:asciiTheme="minorHAnsi" w:hAnsiTheme="minorHAnsi" w:cstheme="minorHAnsi"/>
          <w:sz w:val="22"/>
          <w:szCs w:val="22"/>
        </w:rPr>
        <w:t xml:space="preserve"> ΠΕ.Κ.Ε.Σ. Νοτίου Αιγαίουκαι στα Π.Ε.Κ.Ε.Σ. Κρήτης, </w:t>
      </w:r>
    </w:p>
    <w:p w:rsidR="00875084" w:rsidRPr="000200E9" w:rsidRDefault="00F43C38" w:rsidP="00F83658">
      <w:pPr>
        <w:jc w:val="right"/>
        <w:rPr>
          <w:rFonts w:ascii="Calibri" w:hAnsi="Calibri" w:cs="Arial"/>
          <w:sz w:val="24"/>
          <w:szCs w:val="24"/>
        </w:rPr>
      </w:pPr>
      <w:r w:rsidRPr="00A33F65">
        <w:rPr>
          <w:rFonts w:asciiTheme="minorHAnsi" w:hAnsiTheme="minorHAnsi" w:cstheme="minorHAnsi"/>
          <w:sz w:val="22"/>
          <w:szCs w:val="22"/>
        </w:rPr>
        <w:t>Πελοποννήσου, Δυτικής Ελλάδας και Στερεάς Ελλάδας.</w:t>
      </w:r>
    </w:p>
    <w:sectPr w:rsidR="00875084" w:rsidRPr="000200E9" w:rsidSect="0086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DF1"/>
    <w:multiLevelType w:val="hybridMultilevel"/>
    <w:tmpl w:val="6E10E498"/>
    <w:lvl w:ilvl="0" w:tplc="47B689A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2083"/>
        </w:tabs>
        <w:ind w:left="2083" w:hanging="360"/>
      </w:pPr>
    </w:lvl>
    <w:lvl w:ilvl="2" w:tplc="0408001B">
      <w:start w:val="1"/>
      <w:numFmt w:val="decimal"/>
      <w:lvlText w:val="%3."/>
      <w:lvlJc w:val="left"/>
      <w:pPr>
        <w:tabs>
          <w:tab w:val="num" w:pos="2803"/>
        </w:tabs>
        <w:ind w:left="2803" w:hanging="360"/>
      </w:pPr>
    </w:lvl>
    <w:lvl w:ilvl="3" w:tplc="0408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80019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</w:lvl>
    <w:lvl w:ilvl="5" w:tplc="0408001B">
      <w:start w:val="1"/>
      <w:numFmt w:val="decimal"/>
      <w:lvlText w:val="%6."/>
      <w:lvlJc w:val="left"/>
      <w:pPr>
        <w:tabs>
          <w:tab w:val="num" w:pos="4963"/>
        </w:tabs>
        <w:ind w:left="4963" w:hanging="360"/>
      </w:pPr>
    </w:lvl>
    <w:lvl w:ilvl="6" w:tplc="0408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80019">
      <w:start w:val="1"/>
      <w:numFmt w:val="decimal"/>
      <w:lvlText w:val="%8."/>
      <w:lvlJc w:val="left"/>
      <w:pPr>
        <w:tabs>
          <w:tab w:val="num" w:pos="6403"/>
        </w:tabs>
        <w:ind w:left="6403" w:hanging="360"/>
      </w:pPr>
    </w:lvl>
    <w:lvl w:ilvl="8" w:tplc="0408001B">
      <w:start w:val="1"/>
      <w:numFmt w:val="decimal"/>
      <w:lvlText w:val="%9."/>
      <w:lvlJc w:val="left"/>
      <w:pPr>
        <w:tabs>
          <w:tab w:val="num" w:pos="7123"/>
        </w:tabs>
        <w:ind w:left="7123" w:hanging="360"/>
      </w:pPr>
    </w:lvl>
  </w:abstractNum>
  <w:abstractNum w:abstractNumId="1">
    <w:nsid w:val="4AED1C16"/>
    <w:multiLevelType w:val="hybridMultilevel"/>
    <w:tmpl w:val="D3D87D42"/>
    <w:lvl w:ilvl="0" w:tplc="6304F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535A1"/>
    <w:multiLevelType w:val="hybridMultilevel"/>
    <w:tmpl w:val="D76E4CB6"/>
    <w:lvl w:ilvl="0" w:tplc="6AB2AB94">
      <w:start w:val="2"/>
      <w:numFmt w:val="bullet"/>
      <w:lvlText w:val="-"/>
      <w:lvlJc w:val="left"/>
      <w:pPr>
        <w:ind w:left="437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F6BBA"/>
    <w:multiLevelType w:val="hybridMultilevel"/>
    <w:tmpl w:val="DB98E726"/>
    <w:lvl w:ilvl="0" w:tplc="A44C87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084"/>
    <w:rsid w:val="000200E9"/>
    <w:rsid w:val="000405F4"/>
    <w:rsid w:val="0009653B"/>
    <w:rsid w:val="0018484F"/>
    <w:rsid w:val="001B101B"/>
    <w:rsid w:val="001B423F"/>
    <w:rsid w:val="002C40CD"/>
    <w:rsid w:val="003238E4"/>
    <w:rsid w:val="00336A62"/>
    <w:rsid w:val="00340288"/>
    <w:rsid w:val="00360CF8"/>
    <w:rsid w:val="003F3406"/>
    <w:rsid w:val="00432F0A"/>
    <w:rsid w:val="004D7588"/>
    <w:rsid w:val="004E04F7"/>
    <w:rsid w:val="00553CF7"/>
    <w:rsid w:val="00685939"/>
    <w:rsid w:val="0082147E"/>
    <w:rsid w:val="00862439"/>
    <w:rsid w:val="00875084"/>
    <w:rsid w:val="009036D1"/>
    <w:rsid w:val="00A33F65"/>
    <w:rsid w:val="00A63E14"/>
    <w:rsid w:val="00AD49C9"/>
    <w:rsid w:val="00AE7E81"/>
    <w:rsid w:val="00E000B8"/>
    <w:rsid w:val="00E32C88"/>
    <w:rsid w:val="00E9235C"/>
    <w:rsid w:val="00F43C38"/>
    <w:rsid w:val="00F8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8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875084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75084"/>
    <w:pPr>
      <w:framePr w:w="4603" w:h="2442" w:hSpace="180" w:wrap="around" w:vAnchor="text" w:hAnchor="page" w:x="1005" w:y="588"/>
    </w:pPr>
    <w:rPr>
      <w:sz w:val="24"/>
    </w:rPr>
  </w:style>
  <w:style w:type="table" w:styleId="a4">
    <w:name w:val="Table Grid"/>
    <w:basedOn w:val="a1"/>
    <w:uiPriority w:val="59"/>
    <w:rsid w:val="0087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3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a0"/>
    <w:rsid w:val="00F43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.</cp:lastModifiedBy>
  <cp:revision>3</cp:revision>
  <dcterms:created xsi:type="dcterms:W3CDTF">2021-01-14T13:21:00Z</dcterms:created>
  <dcterms:modified xsi:type="dcterms:W3CDTF">2021-01-15T08:30:00Z</dcterms:modified>
</cp:coreProperties>
</file>